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HU</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II. MELLÉKLET</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„II. MELLÉKLET</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ÚTMUTATÓ A SZAVATOLÓTŐKÉRE ÉS A SZAVATOLÓTŐKE-KÖVETELMÉNYEKRE VONATKOZÓ ADATSZOLGÁLTATÁSHOZ</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RÉSZ: TÁBLASPECIFIKUS ÚTMUTATÓ</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Nemteljesítő kitettségek veszteségfedezete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Pr>
          <w:rFonts w:ascii="Times New Roman" w:hAnsi="Times New Roman"/>
          <w:sz w:val="24"/>
          <w:u w:val="none"/>
        </w:rPr>
        <w:tab/>
        <w:t>Általános megjegyzések</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202</w:t>
      </w:r>
      <w:r w:rsidRPr="005B57EC">
        <w:fldChar w:fldCharType="end"/>
      </w:r>
      <w:r>
        <w:t>. A nemteljesítő kitettségek veszteségfedezeti táblái a nemteljesítő kitettségekre vonatkozó, az 575/2013/EU rendelet 47a., 47b. és 47c. cikkében meghatározott veszteségfedezeti minimumkövetelmény kiszámítása céljából információkat tartalmaznak a nemteljesítő kitettségekről.</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203</w:t>
      </w:r>
      <w:r w:rsidRPr="005B57EC">
        <w:fldChar w:fldCharType="end"/>
      </w:r>
      <w:r>
        <w:t>. A táblacsoport három táblából áll:</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A nemteljesítő kitettségekhez kapcsolódó levonások kiszámítása (C 35.01): ez egy áttekintő tábla, amely feltünteti az elégtelen fedezet alkalmazandó összegét, amelyet a nemteljesítő kitettségekre vonatkozó teljes fedezeti minimumkövetelmény és a céltartalékok, valamint a már elvégzett kiigazítások vagy levonások összegének különbségeként kell kiszámítani. A tábla tartalmazza mindazokat a nemteljesítő kitettségeket, amelyek átstrukturálására nem került sor, mind pedig a nemteljesítő átstrukturált kitettségeket.</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A nemteljesítő kitettségekre vonatkozó fedezeti minimumkövetelmények és kitettségértékek, kivéve az 575/2013/EU rendelet 47c. cikke (6) bekezdésének hatálya alá tartozó átstrukturált kitettségeket (C 35.02): a tábla az 575/2013/EU rendelet 47c. cikke (6) bekezdésének hatálya alá tartozó nemteljesítő átstrukturált kitettségeknek nem minősülő nemteljesítő kitettségekre vonatkozó teljes fedezeti minimumkövetelmény számítására szolgál, feltüntetve az e számítás céljából a kitettségértékekre alkalmazandó szorzókat, figyelembe véve, hogy a kitettség fedezett vagy fedezetlen-e, valamint azt az időtartamot, ami a kitettség nemteljesítővé történő besorolása óta eltelt.</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Az 575/2013/EU rendelet 47c. cikke (6) bekezdésének hatálya alá tartozó átstrukturált nemteljesítő kitettségekre vonatkozó fedezeti minimumkövetelmények és kitettségértékek (C 35.03): a tábla az 575/2013/EU rendelet 47c. cikke (6) bekezdésének hatálya alá tartozó nemteljesítő átstrukturált kitettségekre vonatkozó teljes fedezeti minimumkövetelmények számítására szolgál, feltüntetve az e számítás céljából a kitettségértékekre alkalmazandó szorzókat, és figyelembe véve, hogy a kitettség fedezett vagy fedezetlen-e, valamint azt az időtartamot, ami a kitettség nemteljesítővé történő besorolása óta eltelt. </w:t>
      </w:r>
    </w:p>
    <w:p w14:paraId="00581AE0" w14:textId="6EF53D3E" w:rsidR="00E7212E" w:rsidRPr="002A677E" w:rsidRDefault="00E7212E" w:rsidP="00E7212E">
      <w:pPr>
        <w:pStyle w:val="InstructionsText2"/>
        <w:numPr>
          <w:ilvl w:val="0"/>
          <w:numId w:val="0"/>
        </w:numPr>
        <w:ind w:left="993"/>
      </w:pPr>
      <w:r w:rsidRPr="005B57EC">
        <w:lastRenderedPageBreak/>
        <w:fldChar w:fldCharType="begin"/>
      </w:r>
      <w:r w:rsidRPr="002A677E">
        <w:instrText xml:space="preserve"> seq paragraphs </w:instrText>
      </w:r>
      <w:r w:rsidRPr="005B57EC">
        <w:fldChar w:fldCharType="separate"/>
      </w:r>
      <w:r>
        <w:t>204</w:t>
      </w:r>
      <w:r w:rsidRPr="005B57EC">
        <w:fldChar w:fldCharType="end"/>
      </w:r>
      <w:r>
        <w:t xml:space="preserve">. A nemteljesítő kitettségekre vonatkozó veszteségfedezeti minimumkövetelmény a következő kitettségekre vonatkozik: i. a 2019. április 26-án vagy azt követően keletkeztetett, nemteljesítővé vált kitettségek és ii. a 2019. április 26. előtt keletkeztetett, nemteljesítővé vált kitettségek, amennyiben azokat az említett időpontot követően oly módon módosítják, hogy az növeli az intézmény </w:t>
      </w:r>
      <w:proofErr w:type="spellStart"/>
      <w:r>
        <w:t>kötelezettel</w:t>
      </w:r>
      <w:proofErr w:type="spellEnd"/>
      <w:r>
        <w:t xml:space="preserve"> szembeni kitettségét (az 575/2013/EU rendelet 469a. cikke). Az 575/2013/EU rendelet 47c. cikkének (4a) bekezdésével összhangban a veszteségfedezeti minimumkövetelmény nem alkalmazandó a nemteljesítő kitettségek hivatalos exporthitel-ügynökség által garantált vagy biztosított részére.</w:t>
      </w:r>
    </w:p>
    <w:p w14:paraId="4F0BBD38" w14:textId="513B716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205</w:t>
      </w:r>
      <w:r w:rsidRPr="005B57EC">
        <w:fldChar w:fldCharType="end"/>
      </w:r>
      <w:r>
        <w:t>. Az intézményeknek a nemteljesítő kitettségekhez kapcsolódó levonásokat, beleértve a minimális fedezeti követelményeket, valamint a céltartalékok, a kiigazítások vagy levonások összegét, az 575/2013/EU rendelet 47c. cikke (1) bekezdésének a) és b) pontja szerint kell kiszámítaniuk az egyedi kitettségek szintjén („tranzakciós alapon”), nem pedig az adós vagy a portfólió szintjén.</w:t>
      </w:r>
    </w:p>
    <w:p w14:paraId="1066EFE1"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206</w:t>
      </w:r>
      <w:r w:rsidRPr="005B57EC">
        <w:fldChar w:fldCharType="end"/>
      </w:r>
      <w:r>
        <w:t>. A nemteljesítő kitettségekhez kapcsolódó levonások kiszámítása céljából az intézményeknek az 575/2013/EU rendelet 47c. cikkének (1) bekezdésével összhangban különbséget kell tenniük a nemteljesítő kitettségek fedezetlen és fedezett része között. E célból az intézményeknek külön kell feltüntetniük a kitettségértékeket és a fedezeti minimumkövetelményeket a nemteljesítő kitettségek fedezetlen és fedezett részére vonatkozóan.</w:t>
      </w:r>
    </w:p>
    <w:bookmarkStart w:id="2" w:name="_Toc522019774"/>
    <w:p w14:paraId="782A124B" w14:textId="2131E94E" w:rsidR="00C6168C" w:rsidRDefault="00E7212E" w:rsidP="002567E9">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207</w:t>
      </w:r>
      <w:r w:rsidRPr="005B57EC">
        <w:fldChar w:fldCharType="end"/>
      </w:r>
      <w:r>
        <w:t>. A releváns alkalmazandó szorzók hozzárendelése és a fedezeti minimumkövetelmények kiszámítása céljából az intézményeknek a nemteljesítő kitettségek fedezett részét a hitelkockázati fedezet típusától függően az 575/2013/EU rendelet 47c. cikkének (3) bekezdésével összhangban a következőképpen kell besorolniuk: i. „ingatlannal fedezett vagy a 201. cikkben említett elismert fedezetnyújtó által garantált lakáshitel”, ii. „egyéb előre rendelkezésre bocsátott vagy előre nem rendelkezésre bocsátott hitelkockázati fedezettel fedezett” vagy iii. „elismert fedezetnyújtó által garantált vagy viszontgarantált”. Ha a nemteljesítő kitettséget egynél több típusú hitelkockázati fedezet fedezi, kitettségértékét a hitelkockázati fedezet minősége szerint kell felosztani, a legjobb minőségűtől kezdve.</w:t>
      </w:r>
    </w:p>
    <w:p w14:paraId="2778C954" w14:textId="103E24DE" w:rsidR="00C6168C" w:rsidRPr="00C6168C" w:rsidRDefault="00C6168C" w:rsidP="00C6168C">
      <w:pPr>
        <w:pStyle w:val="InstructionsText2"/>
        <w:numPr>
          <w:ilvl w:val="0"/>
          <w:numId w:val="0"/>
        </w:numPr>
        <w:ind w:left="993"/>
        <w:rPr>
          <w:noProof/>
        </w:rPr>
      </w:pPr>
      <w:r>
        <w:t>207a.</w:t>
      </w:r>
      <w:r w:rsidR="00A97AE2">
        <w:t xml:space="preserve"> </w:t>
      </w:r>
      <w:r>
        <w:t xml:space="preserve">Az 575/2013/EU rendelet 36. cikkének (5) bekezdésével összhangban a szakosodott </w:t>
      </w:r>
      <w:proofErr w:type="spellStart"/>
      <w:r>
        <w:t>adósságátstrukturáló</w:t>
      </w:r>
      <w:proofErr w:type="spellEnd"/>
      <w:r>
        <w:t xml:space="preserve"> szervezeteknek a C35.01–C35.03 táblában az általuk vásárolt összes releváns kitettséget fel kell tüntetniük, ideértve a nemteljesítő kitettségeket is, és a megvásárolt rész elégtelen fedezetének alkalmazandó összegeként nullát kell feltüntetniük a C35.01 tábla 0010-es sorában.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t xml:space="preserve">8.2. C 35.01 – </w:t>
      </w:r>
      <w:bookmarkEnd w:id="2"/>
      <w:r>
        <w:rPr>
          <w:rFonts w:ascii="Times New Roman" w:hAnsi="Times New Roman"/>
          <w:sz w:val="24"/>
          <w:u w:val="none"/>
        </w:rPr>
        <w:t>A NEMTELJESÍTŐ KITETTSÉGEKHEZ KAPCSOLÓDÓ LEVONÁSOK KISZÁMÍTÁSA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A tábla egyes részeire vonatkozó útmutató</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Oszlop</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Útmutató</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lastRenderedPageBreak/>
              <w:t>0010–0100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 kitettségek nemteljesítőként történő besorolása óta eltelt idő</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A „kitettségek nemteljesítőként történő besorolása óta eltelt idő” a kitettség nemteljesítőként való besorolása és a vonatkozási időpont között eltelt időt jelenti években kifejezve. Vásárolt nemteljesítő kitettségek esetében az években kifejezett időtartam attól az időponttól kezdődik, amikor a kitettségeket eredetileg nemteljesítőként sorolták be, nem pedig a vásárlás időpontjától. </w:t>
            </w:r>
          </w:p>
          <w:p w14:paraId="4D6DCF87" w14:textId="77777777" w:rsidR="00E7212E" w:rsidRPr="002A677E" w:rsidRDefault="00E7212E" w:rsidP="00BF7D57">
            <w:pPr>
              <w:rPr>
                <w:rFonts w:ascii="Times New Roman" w:hAnsi="Times New Roman"/>
                <w:sz w:val="24"/>
              </w:rPr>
            </w:pPr>
            <w:r>
              <w:rPr>
                <w:rFonts w:ascii="Times New Roman" w:hAnsi="Times New Roman"/>
                <w:sz w:val="24"/>
              </w:rPr>
              <w:t>Az intézményeknek adatot kell szolgáltatniuk azokról a kitettségekről, amelyek esetében a vonatkozási időpont a kitettségek nemteljesítőként való besorolása óta eltelt évek számát jelző, megfelelő időintervallumba esik, eltekintve az átstrukturálási intézkedések alkalmazásától.</w:t>
            </w:r>
          </w:p>
          <w:p w14:paraId="08BF43EA" w14:textId="77777777" w:rsidR="00E7212E" w:rsidRPr="002A677E" w:rsidRDefault="00E7212E" w:rsidP="00BF7D57">
            <w:pPr>
              <w:rPr>
                <w:rFonts w:ascii="Times New Roman" w:hAnsi="Times New Roman"/>
                <w:sz w:val="24"/>
              </w:rPr>
            </w:pPr>
            <w:r>
              <w:rPr>
                <w:rFonts w:ascii="Times New Roman" w:hAnsi="Times New Roman"/>
                <w:sz w:val="24"/>
              </w:rPr>
              <w:t>A „&gt; X év és ≤ Y év” időintervallumok tekintetében az intézményeknek azokról a kitettségekről kell adatot szolgáltatniuk, amelyek esetében a vonatkozási időpont a kitettségek nemteljesítőként való besorolását követő Y-</w:t>
            </w:r>
            <w:proofErr w:type="spellStart"/>
            <w:r>
              <w:rPr>
                <w:rFonts w:ascii="Times New Roman" w:hAnsi="Times New Roman"/>
                <w:sz w:val="24"/>
              </w:rPr>
              <w:t>adik</w:t>
            </w:r>
            <w:proofErr w:type="spellEnd"/>
            <w:r>
              <w:rPr>
                <w:rFonts w:ascii="Times New Roman" w:hAnsi="Times New Roman"/>
                <w:sz w:val="24"/>
              </w:rPr>
              <w:t xml:space="preserve"> év első és utolsó napja közötti időszakba esik.</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Összesen</w:t>
            </w:r>
          </w:p>
          <w:p w14:paraId="785D55A5" w14:textId="77777777" w:rsidR="00E7212E" w:rsidRPr="002A677E" w:rsidRDefault="00E7212E" w:rsidP="00BF7D57">
            <w:pPr>
              <w:rPr>
                <w:rFonts w:ascii="Times New Roman" w:hAnsi="Times New Roman"/>
                <w:sz w:val="24"/>
              </w:rPr>
            </w:pPr>
            <w:r>
              <w:rPr>
                <w:rFonts w:ascii="Times New Roman" w:hAnsi="Times New Roman"/>
                <w:sz w:val="24"/>
              </w:rPr>
              <w:t>Az intézményeknek a 0010-es és 0100-as közötti oszlopok összegét kell megadniuk.</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Sorok</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Útmutató</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Az elégtelen fedezet alkalmazandó összege</w:t>
            </w:r>
          </w:p>
          <w:p w14:paraId="07CA6C51" w14:textId="77777777" w:rsidR="00E7212E" w:rsidRPr="002A677E" w:rsidRDefault="00E7212E" w:rsidP="00BF7D57">
            <w:pPr>
              <w:rPr>
                <w:rFonts w:ascii="Times New Roman" w:hAnsi="Times New Roman"/>
                <w:sz w:val="24"/>
              </w:rPr>
            </w:pPr>
            <w:r>
              <w:rPr>
                <w:rFonts w:ascii="Times New Roman" w:hAnsi="Times New Roman"/>
                <w:sz w:val="24"/>
              </w:rPr>
              <w:t>Az 575/2013/EU rendelet 47c. cikkének (1) bekezdése</w:t>
            </w:r>
          </w:p>
          <w:p w14:paraId="7BAA1E96" w14:textId="77777777" w:rsidR="00E7212E" w:rsidRPr="002A677E" w:rsidRDefault="00E7212E" w:rsidP="00BF7D57">
            <w:pPr>
              <w:rPr>
                <w:rFonts w:ascii="Times New Roman" w:hAnsi="Times New Roman"/>
                <w:sz w:val="24"/>
              </w:rPr>
            </w:pPr>
            <w:r>
              <w:rPr>
                <w:rFonts w:ascii="Times New Roman" w:hAnsi="Times New Roman"/>
                <w:sz w:val="24"/>
              </w:rPr>
              <w:t>Az elégtelen fedezet alkalmazandó összegének kiszámításához az intézményeknek a nemteljesítő kitettségekre vonatkozó teljes fedezeti minimumkövetelményből (0020-as sor) le kell vonniuk a céltartalékok, kiigazítások vagy levonások (felső korlátos) összegét (0080-as sor).</w:t>
            </w:r>
          </w:p>
          <w:p w14:paraId="4864656A" w14:textId="5DE2BE38" w:rsidR="006124F8" w:rsidRPr="002A677E" w:rsidRDefault="00E7212E" w:rsidP="00BF7D57">
            <w:pPr>
              <w:rPr>
                <w:rFonts w:ascii="Times New Roman" w:hAnsi="Times New Roman"/>
                <w:sz w:val="24"/>
              </w:rPr>
            </w:pPr>
            <w:r>
              <w:rPr>
                <w:rFonts w:ascii="Times New Roman" w:hAnsi="Times New Roman"/>
                <w:sz w:val="24"/>
              </w:rPr>
              <w:t>Az elégtelen fedezet alkalmazandó összege (azaz a nemteljesítő kitettségekre vonatkozó teljes fedezeti minimumkövetelmény hiányzó része) nem lehet kisebb nullánál.</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 nemteljesítő kitettségekre vonatkozó teljes fedezeti minimumkövetelmény</w:t>
            </w:r>
          </w:p>
          <w:p w14:paraId="649C7EAB"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bekezdésének a) pontja</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A nemteljesítő kitettségekre vonatkozó teljes fedezeti minimumkövetelmény kiszámításához az intézményeknek össze kell adniuk a nemteljesítő kitettségek fedezetlen részére (0030-as sor) és a nemteljesítő kitettségek fedezett részére (0040-es sor) vonatkozó fedezeti minimumkövetelményt.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Nemteljesítő kitettségek fedezetlen része</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bekezdése a) pontjának i. alpontja, 47c. cikkének (2) és (6) bekezdése</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Az intézményeknek a nemteljesítő kitettségek fedezetlen részére vonatkozó teljes fedezeti minimumkövetelményt, azaz a kitettségek szintjén végzett számítások összesítését kell megadniuk. </w:t>
            </w:r>
          </w:p>
          <w:p w14:paraId="73D05839" w14:textId="77777777" w:rsidR="00E7212E" w:rsidRPr="002A677E" w:rsidRDefault="00E7212E" w:rsidP="00BF7D57">
            <w:pPr>
              <w:rPr>
                <w:rFonts w:ascii="Times New Roman" w:hAnsi="Times New Roman"/>
                <w:sz w:val="24"/>
              </w:rPr>
            </w:pPr>
            <w:r>
              <w:rPr>
                <w:rFonts w:ascii="Times New Roman" w:hAnsi="Times New Roman"/>
                <w:sz w:val="24"/>
              </w:rPr>
              <w:lastRenderedPageBreak/>
              <w:t xml:space="preserve">Az egyes oszlopokban feltüntetett összeg megegyezik a C 35.02 tábla 0020-as sorában és (adott esetben) a C 35.03 tábla 0020-as sorában a megfelelő oszlopokban megadott értékek összegével.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Nemteljesítő kitettségek fedezett része</w:t>
            </w:r>
          </w:p>
          <w:p w14:paraId="12886933"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bekezdése a) pontjának ii. alpontja, 47c. cikkének (3), (4) és (6) bekezdése.</w:t>
            </w:r>
          </w:p>
          <w:p w14:paraId="16387A62" w14:textId="77777777" w:rsidR="00E7212E" w:rsidRPr="002A677E" w:rsidRDefault="00E7212E" w:rsidP="00BF7D57">
            <w:pPr>
              <w:rPr>
                <w:rFonts w:ascii="Times New Roman" w:hAnsi="Times New Roman"/>
                <w:sz w:val="24"/>
              </w:rPr>
            </w:pPr>
            <w:r>
              <w:rPr>
                <w:rFonts w:ascii="Times New Roman" w:hAnsi="Times New Roman"/>
                <w:sz w:val="24"/>
              </w:rPr>
              <w:t>Az intézményeknek a nemteljesítő kitettségek fedezett részére vonatkozó teljes fedezeti minimumkövetelményt, azaz a kitettségek szintjén végzett számítások összesítését kell megadniuk.</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Az egyes oszlopokban feltüntetett összeg megegyezik a C 35.02 tábla 0030–0045-es sorában és (adott esetben) a C 35.03 tábla 0030–0040-es sorában a megfelelő oszlopokban megadott értékek összegével.</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Kitettségérték</w:t>
            </w:r>
          </w:p>
          <w:p w14:paraId="3D274535" w14:textId="77777777" w:rsidR="00E7212E" w:rsidRPr="002A677E" w:rsidRDefault="00E7212E" w:rsidP="00BF7D57">
            <w:pPr>
              <w:rPr>
                <w:rFonts w:ascii="Times New Roman" w:hAnsi="Times New Roman"/>
                <w:sz w:val="24"/>
              </w:rPr>
            </w:pPr>
            <w:r>
              <w:rPr>
                <w:rFonts w:ascii="Times New Roman" w:hAnsi="Times New Roman"/>
                <w:sz w:val="24"/>
              </w:rPr>
              <w:t>Az 575/2013/EU rendelet 47 a. cikkének (2) bekezdése</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Az intézményeknek a nemteljesítő kitettségek teljes kitettségértékét kell megadniuk, beleértve a fedezetlen és a fedezett kitettségeket is. Ez a 0060-as és a 0070-es sor összege.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Nemteljesítő kitettségek fedezetlen része</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Az 575/2013/EU rendelet 47a. cikkének (2) bekezdése és 47c. cikkének (1) bekezdése</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Nemteljesítő kitettségek fedezett része</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Az 575/2013/EU rendelet 47a. cikkének (2) bekezdése és 47c. cikkének (1) bekezdése</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Céltartalékok és kiigazítások vagy levonások összesen (felső korláttal)</w:t>
            </w:r>
          </w:p>
          <w:p w14:paraId="1063BD06"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bekezdése b) pontjának megfelelően az intézményeknek a 0100–0150-es sorban felsorolt tételek felső korlátos összegét kell megadniuk. A céltartalékok és kiigazítások vagy levonások felső korlátja a kitettségi szinten számított fedezeti minimumkövetelmény.</w:t>
            </w:r>
          </w:p>
          <w:p w14:paraId="5D5758AF" w14:textId="77777777" w:rsidR="00E7212E" w:rsidRPr="002A677E" w:rsidRDefault="00E7212E" w:rsidP="00BF7D57">
            <w:pPr>
              <w:rPr>
                <w:rFonts w:ascii="Times New Roman" w:hAnsi="Times New Roman"/>
                <w:sz w:val="24"/>
              </w:rPr>
            </w:pPr>
            <w:r>
              <w:rPr>
                <w:rFonts w:ascii="Times New Roman" w:hAnsi="Times New Roman"/>
                <w:sz w:val="24"/>
              </w:rPr>
              <w:t>A felső korlátos összeget az egyes kitettségekre külön-külön kell kiszámítani, és az az adott kitettségre vonatkozó fedezeti minimumkövetelmény, illetve az ugyanazon kitettségre képzett céltartalékok, kiigazítások vagy levonások összege közül az alacsonyabb összeg.</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Céltartalékok és kiigazítások vagy levonások összesen (felső korlát nélkül)</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Az 575/2013/EU rendelet 47c. cikke (1) bekezdése b) pontjának megfelelően az intézményeknek a 0100–0150-es sorban felsorolt tételek felső korlát nélküli összegét kell megadniuk. A felső korlát nélküli céltartalékok és kiigazítások vagy levonások nem korlátozódnak a kitettségi szinten számított fedezeti minimumkövetelmény összegére.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Egyedi hitelkockázati kiigazítások</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Az 575/2013/EU rendelet 47c. cikke (1) bekezdése b) pontjának i. alpontja</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További értékelési korrekciók</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Az 575/2013/EU rendelet 47c. cikke (1) bekezdése b) pontjának ii. alpontja</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Egyéb szavatolótőke-csökkentések</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Az 575/2013/EU rendelet 47c. cikke (1) bekezdése b) pontjának iii. alpontja</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IRB szerinti hiány</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Az 575/2013/EU rendelet 47c. cikke (1) bekezdése b) pontjának iv. alpontja</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 vételár és az adós tartozásának összege közötti különbség</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Az 575/2013/EU rendelet 47c. cikke (1) bekezdése b) pontjának v. alpontja</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Az intézmény által a kitettség nemteljesítőként való besorolása óta leírt összegek</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Az 575/2013/EU rendelet 47c. cikke (1) bekezdése b) pontjának vi. alpontja</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t>C 35.02 – A NEMTELJESÍTŐ KITETTSÉGEKRE VONATKOZÓ FEDEZETI MINIMUMKÖVETELMÉNYEK ÉS KITETTSÉGÉRTÉKEK, KIVÉVE AZ 575/2013/EU RENDELET 47c. CIKKE (6) BEKEZDÉSÉNEK HATÁLYA ALÁ TARTOZÓ ÁTSTRUKTURÁLT KITETTSÉGEKET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A tábla egyes részeire vonatkozó útmutató</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Oszlop</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Útmutató</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 kitettségek nemteljesítőként történő besorolása óta eltelt idő</w:t>
            </w:r>
          </w:p>
          <w:p w14:paraId="27559F86" w14:textId="77777777" w:rsidR="00E7212E" w:rsidRPr="002A677E" w:rsidRDefault="00E7212E" w:rsidP="00BF7D57">
            <w:pPr>
              <w:rPr>
                <w:rFonts w:ascii="Times New Roman" w:hAnsi="Times New Roman"/>
                <w:sz w:val="24"/>
              </w:rPr>
            </w:pPr>
            <w:r>
              <w:rPr>
                <w:rFonts w:ascii="Times New Roman" w:hAnsi="Times New Roman"/>
                <w:sz w:val="24"/>
              </w:rPr>
              <w:t>A „kitettségek nemteljesítőként történő besorolása óta eltelt idő” a kitettség nemteljesítőként való besorolása óta eltelt időt jelenti években kifejezve. Az intézményeknek adatot kell szolgáltatniuk azokról a kitettségekről, amelyek esetében a vonatkozási időpont a kitettségek nemteljesítőként való besorolása óta eltelt évek számát jelző, megfelelő időintervallumba esik, eltekintve az átstrukturálási intézkedések alkalmazásától.</w:t>
            </w:r>
          </w:p>
          <w:p w14:paraId="1AD59E7D" w14:textId="77777777" w:rsidR="00E7212E" w:rsidRPr="002A677E" w:rsidRDefault="00E7212E" w:rsidP="00BF7D57">
            <w:pPr>
              <w:rPr>
                <w:rFonts w:ascii="Times New Roman" w:hAnsi="Times New Roman"/>
                <w:sz w:val="24"/>
              </w:rPr>
            </w:pPr>
            <w:r>
              <w:rPr>
                <w:rFonts w:ascii="Times New Roman" w:hAnsi="Times New Roman"/>
                <w:sz w:val="24"/>
              </w:rPr>
              <w:t>A „&gt; X év és ≤ Y év” időintervallumok tekintetében az intézményeknek azokról a kitettségekről kell adatot szolgáltatniuk, amelyek esetében a vonatkozási időpont a kitettségek nemteljesítőként való besorolását követő Y-</w:t>
            </w:r>
            <w:proofErr w:type="spellStart"/>
            <w:r>
              <w:rPr>
                <w:rFonts w:ascii="Times New Roman" w:hAnsi="Times New Roman"/>
                <w:sz w:val="24"/>
              </w:rPr>
              <w:t>adik</w:t>
            </w:r>
            <w:proofErr w:type="spellEnd"/>
            <w:r>
              <w:rPr>
                <w:rFonts w:ascii="Times New Roman" w:hAnsi="Times New Roman"/>
                <w:sz w:val="24"/>
              </w:rPr>
              <w:t xml:space="preserve"> év első és utolsó napja közötti időszakba esik.</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Összesen</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Az intézményeknek a 0010-es és 0100-as közötti oszlopok összegét kell megadniuk.</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Sorok</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Útmutató</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Teljes fedezeti minimumkövetelmény</w:t>
            </w:r>
          </w:p>
          <w:p w14:paraId="182F35CE"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bekezdésének a) pontja</w:t>
            </w:r>
          </w:p>
          <w:p w14:paraId="662FCE5D" w14:textId="79E2CFC8" w:rsidR="00E7212E" w:rsidRPr="002A677E" w:rsidRDefault="00E7212E" w:rsidP="00BF7D57">
            <w:pPr>
              <w:rPr>
                <w:rFonts w:ascii="Times New Roman" w:hAnsi="Times New Roman"/>
                <w:sz w:val="24"/>
              </w:rPr>
            </w:pPr>
            <w:r>
              <w:rPr>
                <w:rFonts w:ascii="Times New Roman" w:hAnsi="Times New Roman"/>
                <w:sz w:val="24"/>
              </w:rPr>
              <w:t xml:space="preserve">Az 575/2013/EU rendelet 47c. cikke (6) bekezdésének hatálya alá tartozó átstrukturált kitettségeket nem tartalmazó nemteljesítő kitettségekre vonatkozó teljes fedezeti minimumkövetelmény kiszámításához az intézményeknek össze kell adniuk a nemteljesítő </w:t>
            </w:r>
            <w:r>
              <w:rPr>
                <w:rFonts w:ascii="Times New Roman" w:hAnsi="Times New Roman"/>
                <w:sz w:val="24"/>
              </w:rPr>
              <w:lastRenderedPageBreak/>
              <w:t>kitettségek fedezetlen részére (0020-as sor) és a nemteljesítő kitettségek fedezett részére (0030–0045-es sor) vonatkozó fedezeti minimumkövetelményt.</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Nemteljesítő kitettségek fedezetlen része</w:t>
            </w:r>
          </w:p>
          <w:p w14:paraId="27ED7CA9"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bekezdése a) pontjának i. alpontja és 47c. cikkének (2) bekezdése</w:t>
            </w:r>
          </w:p>
          <w:p w14:paraId="5CD4163E" w14:textId="77777777" w:rsidR="00E7212E" w:rsidRPr="002A677E" w:rsidRDefault="00E7212E" w:rsidP="00BF7D57">
            <w:pPr>
              <w:rPr>
                <w:rFonts w:ascii="Times New Roman" w:hAnsi="Times New Roman"/>
                <w:sz w:val="24"/>
              </w:rPr>
            </w:pPr>
            <w:r>
              <w:rPr>
                <w:rFonts w:ascii="Times New Roman" w:hAnsi="Times New Roman"/>
                <w:sz w:val="24"/>
              </w:rPr>
              <w:t>A fedezeti minimumkövetelményt úgy kell kiszámítani, hogy a 0070-es sorban feltüntetett összesített kitettségértékeket meg kell szorozni az adott oszlophoz tartozó szorzóval.</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A nemteljesítő kitettségek ingatlannal fedezett része vagy elismert fedezetnyújtó által garantált lakáshitel </w:t>
            </w:r>
          </w:p>
          <w:p w14:paraId="1AB54B5D"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bekezdése a) pontjának ii. alpontja, valamint 47c. cikke (3) bekezdésének a), b), c), d), f), h) és i) pontja</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A fedezeti minimumkövetelményt úgy kell kiszámítani, hogy a 0080-as sorban feltüntetett összesített kitettségértékeket meg kell szorozni az adott oszlophoz tartozó szorzóval.</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 nemteljesítő kitettségek egyéb előre rendelkezésre bocsátott vagy előre nem rendelkezésre bocsátott hitelkockázati fedezettel fedezett része</w:t>
            </w:r>
          </w:p>
          <w:p w14:paraId="5857E4F4"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bekezdése a) pontjának ii. alpontja, valamint 47c. cikke (3) bekezdésének a), b), c), e) és g) pontja</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A fedezeti minimumkövetelményt úgy kell kiszámítani, hogy a 0090-es sorban feltüntetett összesített kitettségértékeket meg kell szorozni az adott oszlophoz tartozó szorzóval.</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A nemteljesítő kitettségek elismert fedezetnyújtó által garantált vagy viszontgarantált része</w:t>
            </w:r>
          </w:p>
          <w:p w14:paraId="4C97CF34" w14:textId="77777777" w:rsidR="00920721" w:rsidRDefault="00EB1058" w:rsidP="00BF7D57">
            <w:pPr>
              <w:jc w:val="left"/>
              <w:rPr>
                <w:rFonts w:ascii="Times New Roman" w:hAnsi="Times New Roman"/>
                <w:sz w:val="24"/>
              </w:rPr>
            </w:pPr>
            <w:r>
              <w:rPr>
                <w:rFonts w:ascii="Times New Roman" w:hAnsi="Times New Roman"/>
                <w:sz w:val="24"/>
              </w:rPr>
              <w:t>Az 575/2013/EU rendelet 47c. cikke (4) bekezdésének b) pontja</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A fedezeti minimumkövetelményt úgy kell kiszámítani, hogy a 0110-es és 0120-as sorban feltüntetett összesített kitettségértékeket meg kell szorozni az adott oszlophoz tartozó szorzóval.</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Kitettségérték</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Az 575/2013/EU rendelet 47 a. cikkének (2) bekezdése</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A 0060-as sor kiszámításához az intézményeknek össze kell adniuk a nemteljesítő kitettségek fedezetlen részére (0070-es sor), a nemteljesítő kitettségek ingatlannal fedezett részére vagy elismert fedezetnyújtó által garantált lakáshitelre (0080-as sor), a nemteljesítő kitettségek egyéb előre rendelkezésre bocsátott vagy előre nem rendelkezésre bocsátott hitelkockázati fedezettel fedezett részére (0090-es sor) és a nemteljesítő kitettségek elismert fedezetnyújtó által garantált vagy viszontgarantált részére (0110-es és 0120-as sor) vonatkozóan megadott kitettségértékeket.</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Nemteljesítő kitettségek fedezetlen része</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Az 575/2013/EU rendelet 47a. cikkének (2) bekezdése és 47c. cikkének (1) és (2) bekezdése</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lastRenderedPageBreak/>
              <w:t>Az intézmények a nemteljesítő kitettségek fedezetlen részének teljes kitettségértékét kötelesek megadni a kitettségek nemteljesítőként való besorolása óta eltelt idő szerinti bontásban.</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 nemteljesítő kitettségek ingatlannal fedezett része vagy elismert fedezetnyújtó által garantált lakáshitel</w:t>
            </w:r>
          </w:p>
          <w:p w14:paraId="353C8B9D" w14:textId="77777777" w:rsidR="00E7212E" w:rsidRPr="002A677E" w:rsidRDefault="00E7212E" w:rsidP="00BF7D57">
            <w:pPr>
              <w:rPr>
                <w:rFonts w:ascii="Times New Roman" w:hAnsi="Times New Roman"/>
                <w:sz w:val="24"/>
              </w:rPr>
            </w:pPr>
            <w:r>
              <w:rPr>
                <w:rFonts w:ascii="Times New Roman" w:hAnsi="Times New Roman"/>
                <w:sz w:val="24"/>
              </w:rPr>
              <w:t>Az 575/2013/EU rendelet 47a. cikkének (2) bekezdése, 47c. cikkének (1) bekezdése és 47c. cikke (3) bekezdésének a), b), c), d), f), h) és i) pontja</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intézményeknek a nemteljesítő kitettségek azon részeinek teljes kitettségértékét kell megadniuk, amelyek az 575/2013/EU rendelet harmadik része II. címének megfelelően ingatlannal fedezettek, vagy amelyek az említett rendelet 201. cikkében említett elismert fedezetnyújtó által garantált lakáshitelek.</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 nemteljesítő kitettségek egyéb előre rendelkezésre bocsátott vagy előre nem rendelkezésre bocsátott hitelkockázati fedezettel fedezett része</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Az 575/2013/EU rendelet 47a. cikkének (2) bekezdése, 47c. cikkének (1) bekezdése, 47c. cikke (3) bekezdésének a), b), c), e) és g) pontja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t>Az intézményeknek a nemteljesítő kitettségek azon részeinek teljes kitettségértékét kell megadniuk, amelyeket az 575/2013/EU rendelet harmadik része II. címének megfelelően egyéb előre rendelkezésre bocsátott vagy előre nem rendelkezésre bocsátott hitelkockázati fedezettel fedeznek.</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A nemteljesítő kitettségek elismert fedezetnyújtó által garantált vagy viszontgarantált része (szorzó: 1)</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Az 575/2013/EU rendelet 47c. cikke (4) bekezdésének b) pontja (szorzó: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A nemteljesítő kitettségek elismert fedezetnyújtó által garantált vagy viszontgarantált része (szorzó: 0)</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Az 575/2013/EU rendelet 47c. cikke (4) bekezdésének a) és b) pontja (szorzó: 0) A 0120-as sorban azon kitettségeket kell feltüntetni, amelyek esetében egy elismert fedezetnyújtó vállalta, hogy teljes mértékben és az eredeti szerződéses fizetési ütemezésnek megfelelően teljesíti a kötelezett összes, hitelintézettel szembeni fizetési kötelezettségét, (az összes lejárati sávra vonatkozóan).</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C 35.03 – AZ 575/2013/EU RENDELET 47C. CIKKE (6) BEKEZDÉSÉNEK HATÁLYA ALÁ TARTOZÓ ÁTSTRUKTURÁLT NEMTELJESÍTŐ KITETTSÉGEKRE VONATKOZÓ FEDEZETI MINIMUMKÖVETELMÉNYEK ÉS KITETTSÉGÉRTÉKEK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A tábla egyes részeire vonatkozó útmutató</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Oszlop</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Útmutató</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 kitettségek nemteljesítőként történő besorolása óta eltelt idő</w:t>
            </w:r>
          </w:p>
          <w:p w14:paraId="6028F7B7" w14:textId="77777777" w:rsidR="00E7212E" w:rsidRPr="002A677E" w:rsidRDefault="00E7212E" w:rsidP="00BF7D57">
            <w:pPr>
              <w:rPr>
                <w:rFonts w:ascii="Times New Roman" w:hAnsi="Times New Roman"/>
                <w:sz w:val="24"/>
              </w:rPr>
            </w:pPr>
            <w:r>
              <w:rPr>
                <w:rFonts w:ascii="Times New Roman" w:hAnsi="Times New Roman"/>
                <w:sz w:val="24"/>
              </w:rPr>
              <w:t xml:space="preserve">A „kitettségek nemteljesítőként történő besorolása óta eltelt idő” a kitettség nemteljesítőként való besorolása óta eltelt időt jelenti években kifejezve. Az </w:t>
            </w:r>
            <w:r>
              <w:rPr>
                <w:rFonts w:ascii="Times New Roman" w:hAnsi="Times New Roman"/>
                <w:sz w:val="24"/>
              </w:rPr>
              <w:lastRenderedPageBreak/>
              <w:t>intézményeknek adatot kell szolgáltatniuk azokról a kitettségekről, amelyek esetében a vonatkozási időpont a kitettségek nemteljesítőként való besorolása óta eltelt évek számát jelző, megfelelő időintervallumba esik, eltekintve az átstrukturálási intézkedések alkalmazásától.</w:t>
            </w:r>
          </w:p>
          <w:p w14:paraId="1EB41D92" w14:textId="77777777" w:rsidR="00E7212E" w:rsidRPr="002A677E" w:rsidRDefault="00E7212E" w:rsidP="00BF7D57">
            <w:pPr>
              <w:rPr>
                <w:rFonts w:ascii="Times New Roman" w:hAnsi="Times New Roman"/>
                <w:sz w:val="24"/>
              </w:rPr>
            </w:pPr>
            <w:r>
              <w:rPr>
                <w:rFonts w:ascii="Times New Roman" w:hAnsi="Times New Roman"/>
                <w:sz w:val="24"/>
              </w:rPr>
              <w:t>A „&gt; X év és ≤ Y év” időintervallumok tekintetében az intézményeknek azokról a kitettségekről kell adatot szolgáltatniuk, amelyek esetében a vonatkozási időpont a kitettségek nemteljesítőként való besorolását követő Y-</w:t>
            </w:r>
            <w:proofErr w:type="spellStart"/>
            <w:r>
              <w:rPr>
                <w:rFonts w:ascii="Times New Roman" w:hAnsi="Times New Roman"/>
                <w:sz w:val="24"/>
              </w:rPr>
              <w:t>adik</w:t>
            </w:r>
            <w:proofErr w:type="spellEnd"/>
            <w:r>
              <w:rPr>
                <w:rFonts w:ascii="Times New Roman" w:hAnsi="Times New Roman"/>
                <w:sz w:val="24"/>
              </w:rPr>
              <w:t xml:space="preserve"> év első és utolsó napja közötti időszakba esik.</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Összesen</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intézményeknek a 0010-es és 0100-as közötti oszlopok összegét kell megadniuk.</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Sorok</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Útmutató</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Teljes fedezeti minimumkövetelmény</w:t>
            </w:r>
          </w:p>
          <w:p w14:paraId="1C8DD96C"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bekezdésének a) pontja és 47c. cikkének (6) bekezdése</w:t>
            </w:r>
          </w:p>
          <w:p w14:paraId="08DABFBB"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(6) bekezdésének hatálya alá tartozó átstrukturált nemteljesítő kitettségekre vonatkozó teljes fedezeti minimumkövetelmény kiszámításához az intézményeknek össze kell adniuk az átstrukturált nemteljesítő kitettségek fedezetlen részére (0020-as sor), az átstrukturált nemteljesítő kitettségek ingatlannal fedezett részére vagy elismert fedezetnyújtó által garantált lakáshitelre (0030-as sor) és az átstrukturált nemteljesítő kitettségek egyéb előre rendelkezésre bocsátott vagy előre nem rendelkezésre bocsátott hitelkockázati fedezettel fedezett részére (0040-es sor) vonatkozóan megadott kitettségértékeket.</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Nemteljesítő kitettségek fedezetlen része</w:t>
            </w:r>
          </w:p>
          <w:p w14:paraId="01C888D8"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bekezdése a) pontjának i. alpontja, 47c. cikkének (2) és (6) bekezdése</w:t>
            </w:r>
          </w:p>
          <w:p w14:paraId="0536875C" w14:textId="77777777" w:rsidR="00E7212E" w:rsidRPr="002A677E" w:rsidRDefault="00E7212E" w:rsidP="00BF7D57">
            <w:pPr>
              <w:rPr>
                <w:rFonts w:ascii="Times New Roman" w:hAnsi="Times New Roman"/>
                <w:sz w:val="24"/>
              </w:rPr>
            </w:pPr>
            <w:r>
              <w:rPr>
                <w:rFonts w:ascii="Times New Roman" w:hAnsi="Times New Roman"/>
                <w:sz w:val="24"/>
              </w:rPr>
              <w:t>Az intézmények az 575/2013/EU rendelet 47c. cikke (6) bekezdésének hatálya alá tartozó átstrukturált nemteljesítő kitettségek fedezetlen részére vonatkozó teljes fedezeti minimumkövetelményt, azaz a kitettségek szintjén végzett számítások összesítését kötelesek megadni.</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 nemteljesítő kitettségek ingatlannal fedezett része vagy elismert fedezetnyújtó által garantált lakáshitel</w:t>
            </w:r>
          </w:p>
          <w:p w14:paraId="073D5D9E"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bekezdése a) pontjának ii. alpontja, valamint 47c. cikke (3) bekezdésének a), b), c), d), f), h) és i) pontja, valamint 47c. cikkének (6) bekezdése</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Az intézmények az 575/2013/EU rendelet 47c. cikke (6) bekezdésének hatálya alá tartozó átstrukturált nemteljesítő kitettségek azon részeire vonatkozó teljes fedezeti minimumkövetelményt – azaz a kitettségek szintjén végzett számítások összesítését – kötelesek megadni, amelyek az említett rendelet harmadik része II. címének megfelelően ingatlannal fedezettek, vagy amelyek a CRR 201. cikkében említett elismert fedezetnyújtó által garantált lakáshitelek.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 nemteljesítő kitettségek egyéb előre rendelkezésre bocsátott vagy előre nem rendelkezésre bocsátott hitelkockázati fedezettel fedezett része</w:t>
            </w:r>
          </w:p>
          <w:p w14:paraId="001BEF19" w14:textId="77777777" w:rsidR="00E7212E" w:rsidRPr="002A677E" w:rsidRDefault="00E7212E" w:rsidP="00BF7D57">
            <w:pPr>
              <w:rPr>
                <w:rFonts w:ascii="Times New Roman" w:hAnsi="Times New Roman"/>
                <w:sz w:val="24"/>
              </w:rPr>
            </w:pPr>
            <w:r>
              <w:rPr>
                <w:rFonts w:ascii="Times New Roman" w:hAnsi="Times New Roman"/>
                <w:sz w:val="24"/>
              </w:rPr>
              <w:t>Az 575/2013/EU rendelet 47c. cikke (1) bekezdése a) pontjának ii. alpontja, valamint 47c. cikke (3) bekezdésének a), b), c), e) és g) pontja, 47c. cikkének (6) bekezdése</w:t>
            </w:r>
          </w:p>
          <w:p w14:paraId="4AB04E40" w14:textId="77777777" w:rsidR="00E7212E" w:rsidRPr="002A677E" w:rsidRDefault="00E7212E" w:rsidP="00BF7D57">
            <w:pPr>
              <w:rPr>
                <w:rFonts w:ascii="Times New Roman" w:hAnsi="Times New Roman"/>
                <w:sz w:val="24"/>
              </w:rPr>
            </w:pPr>
            <w:r>
              <w:rPr>
                <w:rFonts w:ascii="Times New Roman" w:hAnsi="Times New Roman"/>
                <w:sz w:val="24"/>
              </w:rPr>
              <w:t>Az intézmények az 575/2013/EU rendelet 47c. cikke (6) bekezdésének hatálya alá tartozó átstrukturált nemteljesítő kitettségek egyéb előre rendelkezésre bocsátott vagy előre nem rendelkezésre bocsátott hitelkockázati fedezettel fedezett részére vonatkozó teljes fedezeti minimumkövetelményt, azaz a kitettségek szintjén végzett számítások összesítését kötelesek megadni.</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Kitettségérték</w:t>
            </w:r>
          </w:p>
          <w:p w14:paraId="1D4AA342" w14:textId="77777777" w:rsidR="00E7212E" w:rsidRPr="002A677E" w:rsidRDefault="00E7212E" w:rsidP="00BF7D57">
            <w:pPr>
              <w:rPr>
                <w:rFonts w:ascii="Times New Roman" w:hAnsi="Times New Roman"/>
                <w:sz w:val="24"/>
              </w:rPr>
            </w:pPr>
            <w:r>
              <w:rPr>
                <w:rFonts w:ascii="Times New Roman" w:hAnsi="Times New Roman"/>
                <w:sz w:val="24"/>
              </w:rPr>
              <w:t>Az 575/2013/EU rendelet 47a. cikkének (2) bekezdése és 47c. cikkének (6) bekezdése</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 kitettségérték kiszámításához az intézményeknek össze kell adniuk a nemteljesítő kitettségek fedezetlen részére (0060-as sor), a nemteljesítő kitettségek ingatlannal fedezett részére vagy elismert fedezetnyújtó által garantált lakáshitelre (0070-es sor) és adott esetben a nemteljesítő kitettségek egyéb előre rendelkezésre bocsátott vagy előre nem rendelkezésre bocsátott hitelkockázati fedezettel fedezett részére (0120-as sor) vonatkozóan megadott kitettségértékeket.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Nemteljesítő kitettségek fedezetlen része</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Az 575/2013/EU rendelet 47a. cikkének (2) bekezdése és 47c. cikkének (1), (2) és (6) bekezdése</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 az 575/2013/EU rendelet 47c. cikke (6) bekezdésének hatálya alá tartozó átstrukturált nemteljesítő kitettségek fedezetlen részének teljes kitettségértékét kötelesek megadni, ha az első átstrukturálásra a kitettség nemteljesítőként való besorolását követő második év első és utolsó napja között került sor (&gt;1 év és ≤ 2 év).</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 nemteljesítő kitettségek ingatlannal fedezett része vagy elismert fedezetnyújtó által garantált lakáshitel</w:t>
            </w:r>
          </w:p>
          <w:p w14:paraId="6D8528EC" w14:textId="77777777" w:rsidR="00E7212E" w:rsidRPr="002A677E" w:rsidRDefault="00E7212E" w:rsidP="00BF7D57">
            <w:pPr>
              <w:rPr>
                <w:rFonts w:ascii="Times New Roman" w:hAnsi="Times New Roman"/>
                <w:sz w:val="24"/>
              </w:rPr>
            </w:pPr>
            <w:r>
              <w:rPr>
                <w:rFonts w:ascii="Times New Roman" w:hAnsi="Times New Roman"/>
                <w:sz w:val="24"/>
              </w:rPr>
              <w:t>Az 575/2013/EU rendelet 47a. cikkének (2) bekezdése, 47c. cikkének (1) bekezdése és (3) bekezdésének a), b), c), d), f), h) és i) pontja, valamint 47c. cikkének (6) bekezdése</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 az 575/2013/EU rendelet 47c. cikke (6) bekezdésének hatálya alá tartozó átstrukturált nemteljesítő kitettségek azon részeinek teljes kitettségértékét kötelesek megadni, amelyek az említett rendelet harmadik része II. címének megfelelően ingatlannal fedezettek, vagy amelyek az említett rendelet 201. cikkében említett elismert fedezetnyújtó által garantált lakáshitelek.</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évvel és ≤ 3 évvel a nemteljesítő kitettségként való besorolás után</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harmadik év első és utolsó napja között került sor.</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évvel és ≤ 4 évvel a nemteljesítő kitettségként való besorolás után</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lastRenderedPageBreak/>
              <w:t>Az intézmények az 575/2013/EU rendelet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negyedik év első és utolsó napja között került sor.</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évvel és ≤ 5 évvel a nemteljesítő kitettségként való besorolás után</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ötödik év első és utolsó napja között került sor.</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évvel és ≤ 6 évvel a nemteljesítő kitettségként való besorolás után</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hatodik év első és utolsó napja között került sor.</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A nemteljesítő kitettségek egyéb előre rendelkezésre bocsátott vagy előre nem rendelkezésre bocsátott hitelkockázati fedezettel fedezett része</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Az 575/2013/EU rendelet 47c. cikkének (1) bekezdése, 47c. cikke (3) bekezdésének a), b), c), e) és g) pontja, valamint 47c. cikkének (6) bekezdése</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 az 575/2013/EU rendelet 47c. cikke (6) bekezdésének hatálya alá tartozó átstrukturált nemteljesítő kitettségek azon részeinek teljes kitettségértékét kötelesek megadni, amelyeket az 575/2013/EU rendelet harmadik része II. címének megfelelően egyéb előre rendelkezésre bocsátott vagy előre nem rendelkezésre bocsátott hitelkockázati fedezettel fedeznek.</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évvel és ≤ 3 évvel a nemteljesítő kitettségként való besorolás után</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Az intézmények az 575/2013/EU rendelet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harmadik év első és utolsó napja között került sor.</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évvel és ≤ 4 évvel a nemteljesítő kitettségként való besorolás után</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negyedik év első és utolsó napja között került sor.</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évvel és ≤ 5 évvel a nemteljesítő kitettségként való besorolás után</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Az intézmények az 575/2013/EU rendelet 47c. cikke (6) bekezdésének hatálya alá tartozó azon átstrukturált nemteljesítő kitettségek kitettségértékét kötelesek megadni, amelyek </w:t>
            </w:r>
            <w:r>
              <w:rPr>
                <w:rFonts w:ascii="Times New Roman" w:hAnsi="Times New Roman"/>
                <w:sz w:val="24"/>
              </w:rPr>
              <w:lastRenderedPageBreak/>
              <w:t>egyéb előre rendelkezésre bocsátott vagy előre nem rendelkezésre bocsátott hitelkockázati fedezettel fedezettek, és amelyek esetében az első átstrukturálásra a kitettség nemteljesítőként való besorolását követő ötödik év első és utolsó napja között került sor.</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évvel és ≤ 6 évvel a nemteljesítő kitettségként való besorolás után</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Az intézmények az 575/2013/EU rendelet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hatodik év első és utolsó napja között került sor.</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H – szokásos felhasználásr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H – szokásos felhasználásr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H – szokásos felhasználásr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97AE2"/>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hu-HU"/>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FE4516-D8B8-4139-ACE9-9967E9466B35}"/>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4126</Words>
  <Characters>22944</Characters>
  <Application>Microsoft Office Word</Application>
  <DocSecurity>0</DocSecurity>
  <Lines>488</Lines>
  <Paragraphs>287</Paragraphs>
  <ScaleCrop>false</ScaleCrop>
  <Company/>
  <LinksUpToDate>false</LinksUpToDate>
  <CharactersWithSpaces>26783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2025-01-27T08:53:59Z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b6ba4047-4cce-4f32-ab4c-bbb81d500126</vt:lpwstr>
  </property>
  <property fmtid="{D5CDD505-2E9C-101B-9397-08002B2CF9AE}" pid="9" name="MSIP_Label_6bd9ddd1-4d20-43f6-abfa-fc3c07406f94_ContentBits">
    <vt:lpwstr>0</vt:lpwstr>
  </property>
</Properties>
</file>